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82" w:rsidRPr="00C95982" w:rsidRDefault="00C95982" w:rsidP="00C9598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color w:val="000000"/>
          <w:sz w:val="27"/>
          <w:szCs w:val="27"/>
          <w:lang/>
        </w:rPr>
      </w:pPr>
      <w:r w:rsidRPr="00C95982">
        <w:rPr>
          <w:rFonts w:ascii="Verdana" w:eastAsia="Times New Roman" w:hAnsi="Verdana" w:cs="Times New Roman"/>
          <w:color w:val="000000"/>
          <w:sz w:val="27"/>
          <w:szCs w:val="27"/>
          <w:lang/>
        </w:rPr>
        <w:t>Cognitive behavioral therapy in the treatment of social phobia</w:t>
      </w:r>
    </w:p>
    <w:p w:rsidR="00C95982" w:rsidRPr="00C95982" w:rsidRDefault="00C95982" w:rsidP="00C959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C4C4C"/>
          <w:sz w:val="18"/>
          <w:szCs w:val="18"/>
        </w:rPr>
      </w:pPr>
      <w:proofErr w:type="spellStart"/>
      <w:r>
        <w:rPr>
          <w:rFonts w:ascii="Verdana" w:eastAsia="Times New Roman" w:hAnsi="Verdana" w:cs="Times New Roman"/>
          <w:color w:val="4C4C4C"/>
          <w:sz w:val="18"/>
          <w:lang/>
        </w:rPr>
        <w:t>Richa</w:t>
      </w:r>
      <w:proofErr w:type="spellEnd"/>
      <w:r>
        <w:rPr>
          <w:rFonts w:ascii="Verdana" w:eastAsia="Times New Roman" w:hAnsi="Verdana" w:cs="Times New Roman"/>
          <w:color w:val="4C4C4C"/>
          <w:sz w:val="18"/>
          <w:lang/>
        </w:rPr>
        <w:t xml:space="preserve"> </w:t>
      </w:r>
      <w:r w:rsidRPr="00C95982">
        <w:rPr>
          <w:rFonts w:ascii="Verdana" w:eastAsia="Times New Roman" w:hAnsi="Verdana" w:cs="Times New Roman"/>
          <w:vanish/>
          <w:color w:val="4C4C4C"/>
          <w:sz w:val="18"/>
          <w:lang/>
        </w:rPr>
        <w:t>false</w:t>
      </w:r>
      <w:hyperlink r:id="rId4" w:tooltip="Click to search for more items by this author" w:history="1">
        <w:proofErr w:type="spellStart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>Priyamvada</w:t>
        </w:r>
        <w:proofErr w:type="spellEnd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 xml:space="preserve">, </w:t>
        </w:r>
      </w:hyperlink>
      <w:r w:rsidRPr="00C95982">
        <w:rPr>
          <w:rFonts w:ascii="Verdana" w:eastAsia="Times New Roman" w:hAnsi="Verdana" w:cs="Times New Roman"/>
          <w:color w:val="4C4C4C"/>
          <w:sz w:val="18"/>
          <w:lang/>
        </w:rPr>
        <w:t>;</w:t>
      </w:r>
      <w:proofErr w:type="spellStart"/>
      <w:r>
        <w:rPr>
          <w:rFonts w:ascii="Verdana" w:eastAsia="Times New Roman" w:hAnsi="Verdana" w:cs="Times New Roman"/>
          <w:color w:val="4C4C4C"/>
          <w:sz w:val="18"/>
          <w:lang/>
        </w:rPr>
        <w:t>Spana</w:t>
      </w:r>
      <w:proofErr w:type="spellEnd"/>
      <w:r>
        <w:rPr>
          <w:rFonts w:ascii="Verdana" w:eastAsia="Times New Roman" w:hAnsi="Verdana" w:cs="Times New Roman"/>
          <w:color w:val="4C4C4C"/>
          <w:sz w:val="18"/>
          <w:lang/>
        </w:rPr>
        <w:t xml:space="preserve"> </w:t>
      </w:r>
      <w:r w:rsidRPr="00C95982">
        <w:rPr>
          <w:rFonts w:ascii="Verdana" w:eastAsia="Times New Roman" w:hAnsi="Verdana" w:cs="Times New Roman"/>
          <w:color w:val="4C4C4C"/>
          <w:sz w:val="18"/>
          <w:lang/>
        </w:rPr>
        <w:t xml:space="preserve"> </w:t>
      </w:r>
      <w:hyperlink r:id="rId5" w:tooltip="Click to search for more items by this author" w:history="1">
        <w:proofErr w:type="spellStart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>Kumari</w:t>
        </w:r>
        <w:proofErr w:type="spellEnd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 xml:space="preserve">, </w:t>
        </w:r>
      </w:hyperlink>
      <w:r w:rsidRPr="00C95982">
        <w:rPr>
          <w:rFonts w:ascii="Verdana" w:eastAsia="Times New Roman" w:hAnsi="Verdana" w:cs="Times New Roman"/>
          <w:color w:val="4C4C4C"/>
          <w:sz w:val="18"/>
          <w:lang/>
        </w:rPr>
        <w:t xml:space="preserve">; </w:t>
      </w:r>
      <w:r>
        <w:rPr>
          <w:rFonts w:ascii="Verdana" w:eastAsia="Times New Roman" w:hAnsi="Verdana" w:cs="Times New Roman"/>
          <w:color w:val="4C4C4C"/>
          <w:sz w:val="18"/>
          <w:lang/>
        </w:rPr>
        <w:t xml:space="preserve">Jai </w:t>
      </w:r>
      <w:hyperlink r:id="rId6" w:tooltip="Click to search for more items by this author" w:history="1">
        <w:proofErr w:type="spellStart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>Prakash</w:t>
        </w:r>
        <w:proofErr w:type="spellEnd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 xml:space="preserve">, </w:t>
        </w:r>
      </w:hyperlink>
    </w:p>
    <w:p w:rsidR="00C95982" w:rsidRPr="00C95982" w:rsidRDefault="00C95982" w:rsidP="00C9598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vanish/>
          <w:color w:val="4C4C4C"/>
          <w:sz w:val="18"/>
          <w:szCs w:val="18"/>
          <w:lang/>
        </w:rPr>
      </w:pPr>
      <w:r>
        <w:rPr>
          <w:rFonts w:ascii="Verdana" w:eastAsia="Times New Roman" w:hAnsi="Verdana" w:cs="Times New Roman"/>
          <w:noProof/>
          <w:vanish/>
          <w:color w:val="4C4C4C"/>
          <w:sz w:val="18"/>
          <w:szCs w:val="18"/>
        </w:rPr>
        <w:drawing>
          <wp:inline distT="0" distB="0" distL="0" distR="0">
            <wp:extent cx="9525" cy="9525"/>
            <wp:effectExtent l="0" t="0" r="0" b="0"/>
            <wp:docPr id="2" name="Picture 2" descr="http://search.proquest.com/assets/r2013.1.1-0/core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earch.proquest.com/assets/r2013.1.1-0/core/spacer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982" w:rsidRPr="00C95982" w:rsidRDefault="00C95982" w:rsidP="00C9598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C4C4C"/>
          <w:sz w:val="18"/>
          <w:szCs w:val="18"/>
          <w:lang/>
        </w:rPr>
      </w:pPr>
      <w:hyperlink r:id="rId8" w:tooltip="Click to search for more items from this journal" w:history="1">
        <w:proofErr w:type="gramStart"/>
        <w:r w:rsidRPr="00C95982">
          <w:rPr>
            <w:rFonts w:ascii="Verdana" w:eastAsia="Times New Roman" w:hAnsi="Verdana" w:cs="Times New Roman"/>
            <w:b/>
            <w:bCs/>
            <w:color w:val="00569F"/>
            <w:sz w:val="18"/>
            <w:lang/>
          </w:rPr>
          <w:t>Industrial Psychiatry Journal</w:t>
        </w:r>
      </w:hyperlink>
      <w:hyperlink r:id="rId9" w:tooltip="Click to search for more items from this issue" w:history="1">
        <w:r>
          <w:rPr>
            <w:rFonts w:ascii="Verdana" w:eastAsia="Times New Roman" w:hAnsi="Verdana" w:cs="Times New Roman"/>
            <w:noProof/>
            <w:color w:val="00569F"/>
            <w:sz w:val="18"/>
            <w:szCs w:val="18"/>
          </w:rPr>
          <w:drawing>
            <wp:inline distT="0" distB="0" distL="0" distR="0">
              <wp:extent cx="28575" cy="28575"/>
              <wp:effectExtent l="0" t="0" r="0" b="0"/>
              <wp:docPr id="3" name="Picture 3" descr="http://search.proquest.com/assets/r2013.1.1-0/core/spacer.gif">
                <a:hlinkClick xmlns:a="http://schemas.openxmlformats.org/drawingml/2006/main" r:id="rId9" tooltip="&quot;Click to search for more items from this issu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search.proquest.com/assets/r2013.1.1-0/core/spacer.gif">
                        <a:hlinkClick r:id="rId9" tooltip="&quot;Click to search for more items from this issu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" cy="28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>18.</w:t>
        </w:r>
        <w:proofErr w:type="gramEnd"/>
        <w:r w:rsidRPr="00C95982">
          <w:rPr>
            <w:rFonts w:ascii="Verdana" w:eastAsia="Times New Roman" w:hAnsi="Verdana" w:cs="Times New Roman"/>
            <w:color w:val="00569F"/>
            <w:sz w:val="18"/>
            <w:lang/>
          </w:rPr>
          <w:t xml:space="preserve"> 1</w:t>
        </w:r>
        <w:r>
          <w:rPr>
            <w:rFonts w:ascii="Verdana" w:eastAsia="Times New Roman" w:hAnsi="Verdana" w:cs="Times New Roman"/>
            <w:noProof/>
            <w:color w:val="00569F"/>
            <w:sz w:val="18"/>
            <w:szCs w:val="18"/>
          </w:rPr>
          <w:drawing>
            <wp:inline distT="0" distB="0" distL="0" distR="0">
              <wp:extent cx="28575" cy="28575"/>
              <wp:effectExtent l="0" t="0" r="0" b="0"/>
              <wp:docPr id="4" name="Picture 4" descr="http://search.proquest.com/assets/r2013.1.1-0/core/spacer.gif">
                <a:hlinkClick xmlns:a="http://schemas.openxmlformats.org/drawingml/2006/main" r:id="rId9" tooltip="&quot;Click to search for more items from this issu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search.proquest.com/assets/r2013.1.1-0/core/spacer.gif">
                        <a:hlinkClick r:id="rId9" tooltip="&quot;Click to search for more items from this issu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" cy="285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C95982">
        <w:rPr>
          <w:rFonts w:ascii="Verdana" w:eastAsia="Times New Roman" w:hAnsi="Verdana" w:cs="Times New Roman"/>
          <w:color w:val="4C4C4C"/>
          <w:sz w:val="18"/>
          <w:lang/>
        </w:rPr>
        <w:t xml:space="preserve"> (Jan 2009): 60-63.</w:t>
      </w:r>
    </w:p>
    <w:p w:rsidR="00C95982" w:rsidRPr="00C95982" w:rsidRDefault="00C95982" w:rsidP="00C9598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4C4C4C"/>
          <w:sz w:val="18"/>
          <w:szCs w:val="18"/>
          <w:lang/>
        </w:rPr>
      </w:pPr>
    </w:p>
    <w:p w:rsidR="00C95982" w:rsidRPr="00C95982" w:rsidRDefault="00C95982" w:rsidP="00C95982">
      <w:pPr>
        <w:shd w:val="clear" w:color="auto" w:fill="FFFFFF"/>
        <w:spacing w:after="255" w:line="360" w:lineRule="atLeast"/>
        <w:rPr>
          <w:rFonts w:ascii="Verdana" w:eastAsia="Times New Roman" w:hAnsi="Verdana" w:cs="Times New Roman"/>
          <w:color w:val="4C4C4C"/>
          <w:sz w:val="18"/>
          <w:szCs w:val="18"/>
          <w:lang/>
        </w:rPr>
      </w:pP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Social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phobia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consists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a marked and persistent fear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encountering other people, usually in small groups; or doing certain acts in a public place, like eating in public toilets, public speaking or encounters with persons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the opposite sex. Affected individuals fear that they will be evaluated negatively or that they will act in a manner that resulting in their humiliation or embarrassment whenever they are expected to go into the phobic situations; they develop severe anticipatory anxiety. They utilize various excuses to avoid phobic situations. This avoidance usually affects their lives quite adversely. Many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these patients exhibit psychological symptoms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poor self confidence, show anxiety on trifles and may be very conscious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some physical or psychological defect in them; as a result, they may develop secondary depression. Exposure to social situations can produce physical symptoms such as sweating, blushing, muscle tension, pounding heart, dry mouth, nausea, urgency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masturbation, shaky voice or trembling. Social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phobia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is the third most common mental disorder in adults worldwide, with a lifetime prevalence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at least 5% (depending on the threshold for distress and impairment). There is an equal gender ratio in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treatment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settings; but in catchment area surveys, there is a female preponderance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3:2. Affected individuals are more likely to be unmarried and have a low socioeconomic status. Although common, social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phobia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is often not diagnosed or effectively treated. There have however been a number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developments in our understanding and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treatment 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social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phobia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over the past decade. Cognitive and behavioral interventions for social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phobia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appear to be more effective than wait-list controls and supportive therapy. Cognitive behavioral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treatment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involving cognitive restructuring plus exposure appears to be an effective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treatment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and exhibits a larger effect than either exposure or social skills training or cognitive restructuring alone. The sessions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CBT for social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phobia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are devoted to training clients in the basic tenets </w:t>
      </w:r>
      <w:r w:rsidRPr="00C95982">
        <w:rPr>
          <w:rFonts w:ascii="Verdana" w:eastAsia="Times New Roman" w:hAnsi="Verdana" w:cs="Times New Roman"/>
          <w:color w:val="000000"/>
          <w:sz w:val="18"/>
          <w:lang/>
        </w:rPr>
        <w:t>of</w:t>
      </w:r>
      <w:r w:rsidRPr="00C95982">
        <w:rPr>
          <w:rFonts w:ascii="Verdana" w:eastAsia="Times New Roman" w:hAnsi="Verdana" w:cs="Times New Roman"/>
          <w:color w:val="4C4C4C"/>
          <w:sz w:val="18"/>
          <w:szCs w:val="18"/>
          <w:lang/>
        </w:rPr>
        <w:t xml:space="preserve"> cognitive therapy, especially the link between faulty assumptions or irrational thinking about social situations and anxiety experienced in those situations. </w:t>
      </w:r>
    </w:p>
    <w:sectPr w:rsidR="00C95982" w:rsidRPr="00C95982" w:rsidSect="00023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982"/>
    <w:rsid w:val="00023830"/>
    <w:rsid w:val="004F401C"/>
    <w:rsid w:val="00C95982"/>
    <w:rsid w:val="00F5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paragraph" w:styleId="Heading2">
    <w:name w:val="heading 2"/>
    <w:basedOn w:val="Normal"/>
    <w:link w:val="Heading2Char"/>
    <w:uiPriority w:val="9"/>
    <w:qFormat/>
    <w:rsid w:val="00C959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5982"/>
    <w:rPr>
      <w:rFonts w:ascii="Times New Roman" w:eastAsia="Times New Roman" w:hAnsi="Times New Roman" w:cs="Times New Roman"/>
      <w:color w:val="000000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95982"/>
    <w:rPr>
      <w:strike w:val="0"/>
      <w:dstrike w:val="0"/>
      <w:color w:val="00569F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C95982"/>
    <w:rPr>
      <w:b/>
      <w:bCs/>
    </w:rPr>
  </w:style>
  <w:style w:type="character" w:customStyle="1" w:styleId="titleauthoretc7">
    <w:name w:val="titleauthoretc7"/>
    <w:basedOn w:val="DefaultParagraphFont"/>
    <w:rsid w:val="00C95982"/>
  </w:style>
  <w:style w:type="character" w:customStyle="1" w:styleId="title19">
    <w:name w:val="title19"/>
    <w:basedOn w:val="DefaultParagraphFont"/>
    <w:rsid w:val="00C95982"/>
  </w:style>
  <w:style w:type="character" w:customStyle="1" w:styleId="n">
    <w:name w:val="n"/>
    <w:basedOn w:val="DefaultParagraphFont"/>
    <w:rsid w:val="00C95982"/>
  </w:style>
  <w:style w:type="character" w:customStyle="1" w:styleId="hiddentext1">
    <w:name w:val="hiddentext1"/>
    <w:basedOn w:val="DefaultParagraphFont"/>
    <w:rsid w:val="00C95982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82"/>
    <w:rPr>
      <w:rFonts w:ascii="Tahoma" w:hAnsi="Tahoma" w:cs="Tahoma"/>
      <w:sz w:val="16"/>
      <w:szCs w:val="16"/>
    </w:rPr>
  </w:style>
  <w:style w:type="character" w:customStyle="1" w:styleId="hit3">
    <w:name w:val="hit3"/>
    <w:basedOn w:val="DefaultParagraphFont"/>
    <w:rsid w:val="00C95982"/>
    <w:rPr>
      <w:color w:val="000000"/>
      <w:shd w:val="clear" w:color="auto" w:fill="F4E99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5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25666">
                          <w:marLeft w:val="0"/>
                          <w:marRight w:val="36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8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29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56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838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77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89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65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95148">
                          <w:marLeft w:val="0"/>
                          <w:marRight w:val="36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0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505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33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49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3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6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028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951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7624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957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990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32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5037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378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3312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18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71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83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3610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9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proquest.com/pubidlinkhandler/sng/pubtitle/Industrial+Psychiatry+Journal/$N/226500/DocView/871215175/fulltext/13D4E8B2CAF7FD652A/19?accountid=3810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proquest.com/indexinglinkhandler/sng/au/Prakash,+Jai/$N?accountid=3810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earch.proquest.com/indexinglinkhandler/sng/au/Kumari,+Sapna/$N?accountid=3810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search.proquest.com/indexinglinkhandler/sng/au/Priyamvada,+Richa/$N?accountid=38108" TargetMode="External"/><Relationship Id="rId9" Type="http://schemas.openxmlformats.org/officeDocument/2006/relationships/hyperlink" Target="http://search.proquest.com/indexingvolumeissuelinkhandler/226500/Industrial+Psychiatry+Journal/02009Y01Y01$23Jan+2009$3b++Vol.+18+$281$29/18/1?accountid=381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498</Words>
  <Characters>2845</Characters>
  <Application>Microsoft Office Word</Application>
  <DocSecurity>0</DocSecurity>
  <Lines>23</Lines>
  <Paragraphs>6</Paragraphs>
  <ScaleCrop>false</ScaleCrop>
  <Company>Prince Sultan University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</cp:revision>
  <dcterms:created xsi:type="dcterms:W3CDTF">2013-04-08T09:41:00Z</dcterms:created>
  <dcterms:modified xsi:type="dcterms:W3CDTF">2013-04-08T09:51:00Z</dcterms:modified>
</cp:coreProperties>
</file>